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66" w:rsidRPr="00A72994" w:rsidRDefault="00CC7C66" w:rsidP="00CC7C66">
      <w:pPr>
        <w:jc w:val="both"/>
        <w:rPr>
          <w:rFonts w:ascii="Palatino Linotype" w:hAnsi="Palatino Linotype"/>
          <w:sz w:val="20"/>
          <w:szCs w:val="20"/>
        </w:rPr>
      </w:pPr>
    </w:p>
    <w:p w:rsidR="00CC7C66" w:rsidRPr="005B644A" w:rsidRDefault="00CC7C66" w:rsidP="00CC7C66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Tájékoztató</w:t>
      </w:r>
    </w:p>
    <w:p w:rsidR="00CC7C66" w:rsidRPr="005B644A" w:rsidRDefault="00CC7C66" w:rsidP="00CC7C66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gramStart"/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munkaadók</w:t>
      </w:r>
      <w:proofErr w:type="gramEnd"/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részére a munkahelymegőrzés támogatásáról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A foglalkoztatás elősegítéséről és a munkanélküliek ellátásáról szóló 1991. évi IV. Tv. 18. §, a 6/1996. (VII. 16.) MÜM rendelet 18/C. §, az Európai Unióról és az Európai Unió Működéséről szóló Szerződés 107. és 108. cikkeiben foglaltaknak a csekély összegű (de </w:t>
      </w:r>
      <w:proofErr w:type="spellStart"/>
      <w:r w:rsidRPr="005B644A">
        <w:rPr>
          <w:rFonts w:ascii="Palatino Linotype" w:hAnsi="Palatino Linotype"/>
          <w:color w:val="000000" w:themeColor="text1"/>
          <w:sz w:val="20"/>
          <w:szCs w:val="20"/>
        </w:rPr>
        <w:t>minimis</w:t>
      </w:r>
      <w:proofErr w:type="spellEnd"/>
      <w:r w:rsidRPr="005B644A">
        <w:rPr>
          <w:rFonts w:ascii="Palatino Linotype" w:hAnsi="Palatino Linotype"/>
          <w:color w:val="000000" w:themeColor="text1"/>
          <w:sz w:val="20"/>
          <w:szCs w:val="20"/>
        </w:rPr>
        <w:t>) támogatásokra való alkalmazásáról szóló a Bizottság 2013. december 18-i 1407/2013/EU rendelete valamint a 1408/2013 EU rendelete szabályozza a munkahelymegőrzés támogatás nyújtásának feltételeit.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Támogatás állapítható meg azon munkaadó részére, aki: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>működésével összefüggő okból a munkavállaló munkaviszonyát felmondással kívánja megszüntetni (a munkaviszonnyal egy tekintet alá esik a biztosított bedolgozói jogviszony, továbbá a szövetkezeti tag munkaviszony jellegű munkavégzésre irányuló jogviszonya), és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a támogatás iránti kérelmét az illetékes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járási hivatal f</w:t>
      </w:r>
      <w:r w:rsidR="00444293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oglalkoztatási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o</w:t>
      </w:r>
      <w:r w:rsidR="00444293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sztályára</w:t>
      </w:r>
      <w:r w:rsidR="00444293"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5B644A">
        <w:rPr>
          <w:rFonts w:ascii="Palatino Linotype" w:hAnsi="Palatino Linotype"/>
          <w:color w:val="000000" w:themeColor="text1"/>
          <w:sz w:val="20"/>
          <w:szCs w:val="20"/>
        </w:rPr>
        <w:t>benyújtja,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>a támogatási kérelemmel együtt benyújtott likviditási tervében bemutatja az átmeneti nehézséget okozó gazdasági körülményeit, a gazdasági nehézségek áthidalására vonatkozó várható intézkedését,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>a felmondással érintett munkavállalót a kérelem benyújtását megelőzően legalább hat hónapja foglalkoztatja, továbbá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írásban nyilatkozik arról, hogy a foglalkoztatott létszám megtartására irányuló intézkedései nem vezettek eredményre, 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>nem áll jogerős végzéssel elrendelt végelszámolás, felszámolás alatt, ellene jogerős végzéssel elrendelt csődeljárás vagy egyéb, a megszüntetésre irányuló, jogszabályban meghatározott eljárás nincs folyamatban, és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vállalja a munkavállalónak a támogatás folyósítása alatti foglalkoztatását, valamint azt követően legalább a támogatott foglalkoztatás időtartamával megegyező időtartamú továbbfoglalkoztatását, </w:t>
      </w:r>
    </w:p>
    <w:p w:rsidR="00CC7C66" w:rsidRPr="005B644A" w:rsidRDefault="00CC7C66" w:rsidP="00CC7C66">
      <w:pPr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>vállalja, hogy a támogatás folyósítása és a továbbfoglalkoztatási kötelezettség időtartama alatt a kérelem benyújtását megelőző hónapban (kérelemben megjelölt telephely szerinti megyében lévő valamennyi) telephelyén meglévő átlagos statisztikai állományi létszámát megtartja, munkaviszony megszüntetésére a működési körében felmerülő okból felmondással, illetőleg felmentéssel vagy köz</w:t>
      </w:r>
      <w:r w:rsidR="00CE4171"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ös megegyezéssel nem kerül sor illetve azt a munkaadó a </w:t>
      </w:r>
      <w:r w:rsidR="00CE4171" w:rsidRPr="005B644A">
        <w:rPr>
          <w:rFonts w:ascii="Palatino Linotype" w:hAnsi="Palatino Linotype" w:cs="Arial"/>
          <w:color w:val="000000" w:themeColor="text1"/>
          <w:sz w:val="20"/>
        </w:rPr>
        <w:t xml:space="preserve">Munka Törvénykönyvéről szóló 2012. évi I. tv. 79. § (1) bekezdés b) pontja alapján sem szünteti meg. </w:t>
      </w:r>
      <w:r w:rsidRPr="005B644A">
        <w:rPr>
          <w:rFonts w:ascii="Palatino Linotype" w:hAnsi="Palatino Linotype"/>
          <w:color w:val="000000" w:themeColor="text1"/>
          <w:sz w:val="20"/>
          <w:szCs w:val="20"/>
        </w:rPr>
        <w:t>Ha a munkaadó több telephellyel rendelkezik, az átlagos statisztikai állományi létszám megtartásának kötelezettsége a kérelemben megjelölt telephely szerinti megyében lévő valamennyi telephelyét érintően irányadó. Amennyiben a támogatási igény a megyében meglévő telephelyek közül két vagy több telephelyet érint, úgy telephelyenként külön-külön, de egy időben kell benyújtania a támogatás iránti kérelmet.</w:t>
      </w:r>
    </w:p>
    <w:p w:rsidR="00CC7C66" w:rsidRPr="005B644A" w:rsidRDefault="00CC7C66" w:rsidP="00B6123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A támogatás időtartama:</w:t>
      </w:r>
    </w:p>
    <w:p w:rsidR="00CC7C66" w:rsidRPr="005B644A" w:rsidRDefault="00CC7C66" w:rsidP="00CC7C66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A támogatás a felmondással érintett munkavállaló foglalkoztatásához legfeljebb 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6 hónapig</w:t>
      </w: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, havonta, utólag folyósítható. 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Korábban munkahelymegőrző támogatásban részesült munkaadó abban az esetben támogatható, ha az előző foglalkoztatási kötelezettségének lejárta és az újabb kérelem benyújtása között legalább egy év telt el, és vállalja a munkavállalóknak a támogatás időtartamának kétszeresével megegyező időtartamú továbbfoglalkoztatását. 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A munkahelymegőrző támogatás mértéke:</w:t>
      </w:r>
    </w:p>
    <w:p w:rsidR="00CC7C66" w:rsidRPr="005B644A" w:rsidRDefault="00CC7C66" w:rsidP="00CC7C66">
      <w:pPr>
        <w:spacing w:after="12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A támogatás – mint vissza nem térítendő támogatás – mértéke a felmondással érintett munkavállaló munkabére és szociális hozzájárulási adó együttes összegének 25-90%-áig terjedhet. 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A támogatás havi mértéke munkavállalónként nem haladhatja meg a kötelező legkisebb munkabér 120%-át (201</w:t>
      </w:r>
      <w:r w:rsidR="003A5EA5"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6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-b</w:t>
      </w:r>
      <w:r w:rsidR="003A5EA5"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n 1</w:t>
      </w:r>
      <w:r w:rsidR="00B01AF9"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33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 </w:t>
      </w:r>
      <w:r w:rsidR="00B01AF9"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>2</w:t>
      </w:r>
      <w:r w:rsidRPr="005B644A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00 Ft/fő/hó). 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lastRenderedPageBreak/>
        <w:t>Csökkentett munkaidő esetén a támogatás alapját képező bérköltség maximális összege a munkaidő csökkenés mértékével arányos módon vehető figyelembe.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A támogatás igénybevételével egyidejűleg ugyanazon személy foglalkoztatására tekintettel – az adójogi jogszabályoknak megfelelően – </w:t>
      </w:r>
      <w:proofErr w:type="gramStart"/>
      <w:r w:rsidRPr="005B644A">
        <w:rPr>
          <w:rFonts w:ascii="Palatino Linotype" w:hAnsi="Palatino Linotype"/>
          <w:color w:val="000000" w:themeColor="text1"/>
          <w:sz w:val="20"/>
          <w:szCs w:val="20"/>
        </w:rPr>
        <w:t>a  Rehabilitációs</w:t>
      </w:r>
      <w:proofErr w:type="gramEnd"/>
      <w:r w:rsidRPr="005B644A">
        <w:rPr>
          <w:rFonts w:ascii="Palatino Linotype" w:hAnsi="Palatino Linotype"/>
          <w:color w:val="000000" w:themeColor="text1"/>
          <w:sz w:val="20"/>
          <w:szCs w:val="20"/>
        </w:rPr>
        <w:t xml:space="preserve"> kártya valamint a Munkahelyvédelmi Akcióterv által nyújtott kedvezmények is érvényesíthetőek. </w:t>
      </w:r>
    </w:p>
    <w:p w:rsidR="00CC7C66" w:rsidRPr="005B644A" w:rsidRDefault="00CC7C66" w:rsidP="00CC7C6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spacing w:before="240" w:after="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>Nem állapítható meg munkahelymegőrző támogatás annak a munkaadónak</w:t>
      </w:r>
    </w:p>
    <w:p w:rsidR="00CC7C66" w:rsidRPr="005B644A" w:rsidRDefault="00CC7C66" w:rsidP="00CC7C66">
      <w:pPr>
        <w:numPr>
          <w:ilvl w:val="0"/>
          <w:numId w:val="4"/>
        </w:numPr>
        <w:tabs>
          <w:tab w:val="clear" w:pos="72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akinek a korábban nyújtott munkahelymegőrző támogatáshoz kapcsolódó foglalkoztatási kötelezettsége - jelen támogatás iránti kérelem benyújtását megelőző -</w:t>
      </w:r>
      <w:r w:rsidRPr="005B644A">
        <w:rPr>
          <w:rFonts w:ascii="Palatino Linotype" w:hAnsi="Palatino Linotype" w:cs="Arial"/>
          <w:i/>
          <w:color w:val="000000" w:themeColor="text1"/>
          <w:sz w:val="20"/>
          <w:szCs w:val="20"/>
        </w:rPr>
        <w:t xml:space="preserve"> </w:t>
      </w: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egy éven belül szűnt meg,</w:t>
      </w:r>
    </w:p>
    <w:p w:rsidR="00CC7C66" w:rsidRPr="005B644A" w:rsidRDefault="00CC7C66" w:rsidP="00CC7C66">
      <w:pPr>
        <w:numPr>
          <w:ilvl w:val="0"/>
          <w:numId w:val="4"/>
        </w:numPr>
        <w:tabs>
          <w:tab w:val="clear" w:pos="72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amely nyugdíjban, vagy nyugdíjszerű ellátásban részesülő, illetve külföldi állampolgárok munkahelyének megtartásához kér támogatást,</w:t>
      </w:r>
    </w:p>
    <w:p w:rsidR="00CC7C66" w:rsidRPr="005B644A" w:rsidRDefault="00CC7C66" w:rsidP="00CC7C66">
      <w:pPr>
        <w:numPr>
          <w:ilvl w:val="0"/>
          <w:numId w:val="4"/>
        </w:numPr>
        <w:tabs>
          <w:tab w:val="clear" w:pos="720"/>
        </w:tabs>
        <w:spacing w:after="60"/>
        <w:ind w:left="540" w:hanging="357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amelynek a Borsod megyében lévő valamennyi </w:t>
      </w:r>
      <w:proofErr w:type="gramStart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telephelye(</w:t>
      </w:r>
      <w:proofErr w:type="spellStart"/>
      <w:proofErr w:type="gramEnd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ke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)t illetően a kérelem benyújtását megelőző hónapban </w:t>
      </w:r>
      <w:r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az átlagos statisztikai állományi létszáma nem éri el az 5 főt, és a csoportos létszámleépítéssel érintett létszáma </w:t>
      </w:r>
      <w:r w:rsidR="007B7B7E"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>több</w:t>
      </w:r>
      <w:r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mint 2</w:t>
      </w:r>
      <w:r w:rsidR="007B7B7E"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>4</w:t>
      </w:r>
      <w:r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fő,</w:t>
      </w:r>
    </w:p>
    <w:p w:rsidR="00CC7C66" w:rsidRPr="005B644A" w:rsidRDefault="00CC7C66" w:rsidP="00CC7C66">
      <w:pPr>
        <w:numPr>
          <w:ilvl w:val="0"/>
          <w:numId w:val="4"/>
        </w:numPr>
        <w:tabs>
          <w:tab w:val="clear" w:pos="72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amely jogerős végzéssel elrendelt csőd-, felszámolási-, végelszámolási vagy egyéb – megszüntetésre irányuló, jogszabályban meghatározott – eljárás, illetve külön törvény szerinti adósságrendezési eljárás alatt áll (368/2011. (XII.31.) Korm. rendelet</w:t>
      </w:r>
      <w:r w:rsidR="00F120EB"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75. §</w:t>
      </w: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(2) bekezdés b) pont),</w:t>
      </w:r>
    </w:p>
    <w:p w:rsidR="00CC7C66" w:rsidRPr="005B644A" w:rsidRDefault="00CC7C66" w:rsidP="00CC7C66">
      <w:pPr>
        <w:numPr>
          <w:ilvl w:val="0"/>
          <w:numId w:val="4"/>
        </w:numPr>
        <w:tabs>
          <w:tab w:val="clear" w:pos="720"/>
        </w:tabs>
        <w:ind w:left="540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aki nem minősül köztartozásmentes adózónak (az államháztartásról szóló 2011. évi CXCV. törvény 50. §</w:t>
      </w:r>
      <w:r w:rsidR="0099445A" w:rsidRPr="005B644A">
        <w:rPr>
          <w:rFonts w:ascii="Palatino Linotype" w:hAnsi="Palatino Linotype" w:cs="Arial"/>
          <w:color w:val="000000" w:themeColor="text1"/>
          <w:sz w:val="20"/>
          <w:szCs w:val="20"/>
        </w:rPr>
        <w:t>.</w:t>
      </w:r>
      <w:r w:rsidR="00F120EB"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(4)</w:t>
      </w: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bekezdés),</w:t>
      </w:r>
    </w:p>
    <w:p w:rsidR="00CC7C66" w:rsidRPr="005B644A" w:rsidRDefault="00CC7C66" w:rsidP="00CC7C66">
      <w:pPr>
        <w:spacing w:after="60"/>
        <w:ind w:left="540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(Az agrártámogatások kivételével a költségvetési támogatási igény benyújtásának feltételéül előírható, hogy a benyújtónak ne legyen esedékessé vált és még meg nem fizetett adótartozása - ide nem értve a helyi adókat -, valamint járulék-, illeték- vagy vámtartozása (a továbbiakban együtt: köztartozás).</w:t>
      </w:r>
    </w:p>
    <w:p w:rsidR="00CC7C66" w:rsidRPr="005B644A" w:rsidRDefault="00CC7C66" w:rsidP="00CC7C66">
      <w:pPr>
        <w:numPr>
          <w:ilvl w:val="0"/>
          <w:numId w:val="5"/>
        </w:numPr>
        <w:tabs>
          <w:tab w:val="clear" w:pos="144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amelynek az 1998/2006/EK rendeletben meghatározott csekély összegű (de </w:t>
      </w:r>
      <w:proofErr w:type="spellStart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minimis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) támogatásai elérték az EK rendeletben meghatározott mértéket, vagy az EK rendelet által tilalmazott ágazatokban tevékenykedik, </w:t>
      </w:r>
    </w:p>
    <w:p w:rsidR="00CC7C66" w:rsidRPr="005B644A" w:rsidRDefault="00CC7C66" w:rsidP="00CC7C66">
      <w:pPr>
        <w:numPr>
          <w:ilvl w:val="0"/>
          <w:numId w:val="5"/>
        </w:numPr>
        <w:tabs>
          <w:tab w:val="clear" w:pos="144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amely a 37/2011 (III. 22.) Korm. rendelet 6. §</w:t>
      </w:r>
      <w:proofErr w:type="spellStart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-ában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megfogalmazottak szerint nehéz helyzetben lévő vállalkozásnak minősül,</w:t>
      </w:r>
    </w:p>
    <w:p w:rsidR="00AD4BAD" w:rsidRPr="005B644A" w:rsidRDefault="00AD4BAD" w:rsidP="00CC7C66">
      <w:pPr>
        <w:numPr>
          <w:ilvl w:val="0"/>
          <w:numId w:val="5"/>
        </w:numPr>
        <w:tabs>
          <w:tab w:val="clear" w:pos="144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amely </w:t>
      </w:r>
      <w:r w:rsidR="002331CD" w:rsidRPr="005B644A">
        <w:rPr>
          <w:rFonts w:ascii="Palatino Linotype" w:hAnsi="Palatino Linotype" w:cs="Arial"/>
          <w:color w:val="000000" w:themeColor="text1"/>
          <w:sz w:val="20"/>
          <w:szCs w:val="20"/>
        </w:rPr>
        <w:t>a</w:t>
      </w:r>
      <w:r w:rsidR="005E12EC"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="004819B1" w:rsidRPr="005B644A">
        <w:rPr>
          <w:rFonts w:ascii="Palatino Linotype" w:hAnsi="Palatino Linotype" w:cs="Arial"/>
          <w:color w:val="000000" w:themeColor="text1"/>
          <w:sz w:val="20"/>
          <w:szCs w:val="20"/>
        </w:rPr>
        <w:t>368/2011. (XII.31.) Korm. rendelet</w:t>
      </w: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82. § (1) bekezdése alapján nem felel meg a rendezett munkaügyi kapcsolatok követelményének</w:t>
      </w:r>
      <w:r w:rsidR="00896CDE" w:rsidRPr="005B644A">
        <w:rPr>
          <w:rFonts w:ascii="Palatino Linotype" w:hAnsi="Palatino Linotype" w:cs="Arial"/>
          <w:color w:val="000000" w:themeColor="text1"/>
          <w:sz w:val="20"/>
          <w:szCs w:val="20"/>
        </w:rPr>
        <w:t>,</w:t>
      </w:r>
    </w:p>
    <w:p w:rsidR="00CC7C66" w:rsidRPr="005B644A" w:rsidRDefault="00CC7C66" w:rsidP="00CC7C66">
      <w:pPr>
        <w:numPr>
          <w:ilvl w:val="0"/>
          <w:numId w:val="5"/>
        </w:numPr>
        <w:tabs>
          <w:tab w:val="clear" w:pos="144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annak a munkaadónak, aki a közpénzekből nyújtott támogatások átláthatóságáról szóló 2007. évi CLXXXI. törvény (a továbbiakban: </w:t>
      </w:r>
      <w:proofErr w:type="spellStart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Knyt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.) szerinti nyilatkozata alapján nem részesülhet támogatásban,</w:t>
      </w:r>
    </w:p>
    <w:p w:rsidR="00CC7C66" w:rsidRPr="005B644A" w:rsidRDefault="00CC7C66" w:rsidP="00CC7C66">
      <w:pPr>
        <w:numPr>
          <w:ilvl w:val="0"/>
          <w:numId w:val="4"/>
        </w:numPr>
        <w:tabs>
          <w:tab w:val="clear" w:pos="720"/>
        </w:tabs>
        <w:spacing w:after="60"/>
        <w:ind w:left="540" w:hanging="357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annak a munkaadónak, akit a </w:t>
      </w:r>
      <w:proofErr w:type="spellStart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Knyt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>. megsértése miatt bármely szerv jogerősen kizárt és a kizárás tényét a honlapon közzétették, a kizárást megállapító jogerős döntéstől számított két évig,</w:t>
      </w:r>
    </w:p>
    <w:p w:rsidR="00CC7C66" w:rsidRPr="005B644A" w:rsidRDefault="00CC7C66" w:rsidP="00CC7C66">
      <w:pPr>
        <w:pStyle w:val="bajusz"/>
        <w:numPr>
          <w:ilvl w:val="0"/>
          <w:numId w:val="4"/>
        </w:numPr>
        <w:tabs>
          <w:tab w:val="clear" w:pos="720"/>
        </w:tabs>
        <w:spacing w:after="60" w:line="240" w:lineRule="auto"/>
        <w:ind w:left="540" w:hanging="357"/>
        <w:rPr>
          <w:rFonts w:ascii="Palatino Linotype" w:hAnsi="Palatino Linotype" w:cs="Arial"/>
          <w:color w:val="000000" w:themeColor="text1"/>
          <w:sz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</w:rPr>
        <w:t xml:space="preserve">amely a kérelem benyújtását megelőző féléves időszakban a beruházás helye szerinti </w:t>
      </w:r>
      <w:r w:rsidR="00C42B91" w:rsidRPr="005B644A">
        <w:rPr>
          <w:rFonts w:ascii="Palatino Linotype" w:hAnsi="Palatino Linotype" w:cs="Arial"/>
          <w:color w:val="000000" w:themeColor="text1"/>
          <w:sz w:val="20"/>
        </w:rPr>
        <w:t xml:space="preserve">Kormányhivatal </w:t>
      </w:r>
      <w:r w:rsidRPr="005B644A">
        <w:rPr>
          <w:rFonts w:ascii="Palatino Linotype" w:hAnsi="Palatino Linotype" w:cs="Arial"/>
          <w:color w:val="000000" w:themeColor="text1"/>
          <w:sz w:val="20"/>
        </w:rPr>
        <w:t>illetékességi területén a Munka Törvénykönyvéről szóló 2012. évi. I. törvény 71.§ (1) bekezdés szerinti csoportos létszámcsökkentést hajtott végre, vagy a pályázat benyújtásának időpontjában ilyen eljárást megkezdett, és azt nem kívánja megszüntetni,</w:t>
      </w:r>
    </w:p>
    <w:p w:rsidR="00CC7C66" w:rsidRPr="005B644A" w:rsidRDefault="00CC7C66" w:rsidP="00CC7C66">
      <w:pPr>
        <w:pStyle w:val="bajusz"/>
        <w:numPr>
          <w:ilvl w:val="0"/>
          <w:numId w:val="4"/>
        </w:numPr>
        <w:tabs>
          <w:tab w:val="clear" w:pos="720"/>
        </w:tabs>
        <w:spacing w:line="240" w:lineRule="auto"/>
        <w:ind w:left="540" w:hanging="357"/>
        <w:rPr>
          <w:rFonts w:ascii="Palatino Linotype" w:hAnsi="Palatino Linotype" w:cs="Arial"/>
          <w:color w:val="000000" w:themeColor="text1"/>
          <w:sz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</w:rPr>
        <w:t>továbbá nem nyújtható támogatás a Munka Törvénykönyvéről szóló 2012. évi I. tv. 53. §</w:t>
      </w:r>
      <w:proofErr w:type="spellStart"/>
      <w:r w:rsidRPr="005B644A">
        <w:rPr>
          <w:rFonts w:ascii="Palatino Linotype" w:hAnsi="Palatino Linotype" w:cs="Arial"/>
          <w:color w:val="000000" w:themeColor="text1"/>
          <w:sz w:val="20"/>
        </w:rPr>
        <w:t>-a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</w:rPr>
        <w:t xml:space="preserve"> szerinti a munkavállaló munkaszerződéstől eltérő munkakörben, munkahelyen vagy munkáltatónál való foglalkoztatásához, vagy 214. §</w:t>
      </w:r>
      <w:proofErr w:type="spellStart"/>
      <w:r w:rsidRPr="005B644A">
        <w:rPr>
          <w:rFonts w:ascii="Palatino Linotype" w:hAnsi="Palatino Linotype" w:cs="Arial"/>
          <w:color w:val="000000" w:themeColor="text1"/>
          <w:sz w:val="20"/>
        </w:rPr>
        <w:t>-a</w:t>
      </w:r>
      <w:proofErr w:type="spellEnd"/>
      <w:r w:rsidRPr="005B644A">
        <w:rPr>
          <w:rFonts w:ascii="Palatino Linotype" w:hAnsi="Palatino Linotype" w:cs="Arial"/>
          <w:color w:val="000000" w:themeColor="text1"/>
          <w:sz w:val="20"/>
        </w:rPr>
        <w:t xml:space="preserve"> szerinti munkaerő-kölcsönzéshez.</w:t>
      </w:r>
    </w:p>
    <w:p w:rsidR="00E47E94" w:rsidRPr="005B644A" w:rsidRDefault="00E47E94" w:rsidP="00CC7C66">
      <w:pPr>
        <w:spacing w:before="240" w:after="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</w:p>
    <w:p w:rsidR="000332AB" w:rsidRDefault="000332AB" w:rsidP="00CC7C66">
      <w:pPr>
        <w:spacing w:before="240" w:after="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spacing w:before="240" w:after="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lastRenderedPageBreak/>
        <w:t>A támogatás igénylése</w:t>
      </w:r>
    </w:p>
    <w:p w:rsidR="00CC7C66" w:rsidRPr="005B644A" w:rsidRDefault="00CC7C66" w:rsidP="00CC7C66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 támogatás iránti kérelmet a munkaadó székhelye, telephelye szerint illetékes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járási hivatal f</w:t>
      </w:r>
      <w:r w:rsidR="005F00ED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oglalkoztatási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o</w:t>
      </w:r>
      <w:r w:rsidR="005F00ED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sztályán</w:t>
      </w: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lehet benyújtani 1 eredeti példányban. </w:t>
      </w:r>
    </w:p>
    <w:p w:rsidR="00CC7C66" w:rsidRPr="005B644A" w:rsidRDefault="00CC7C66" w:rsidP="00CC7C66">
      <w:pPr>
        <w:spacing w:before="240" w:after="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b/>
          <w:color w:val="000000" w:themeColor="text1"/>
          <w:sz w:val="20"/>
          <w:szCs w:val="20"/>
        </w:rPr>
        <w:t>A támogatás elbírálása, folyósítása</w:t>
      </w:r>
    </w:p>
    <w:p w:rsidR="00CC7C66" w:rsidRPr="005B644A" w:rsidRDefault="00CC7C66" w:rsidP="00CC7C66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A támogatás mértékéről, időtartamáról, a támogatás részletes feltételeiről a munkaadó és a </w:t>
      </w:r>
      <w:r w:rsidR="005F00ED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járási hivatal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f</w:t>
      </w:r>
      <w:r w:rsidR="005F00ED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oglalkoztatási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o</w:t>
      </w:r>
      <w:r w:rsidR="005F00ED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sztálya</w:t>
      </w:r>
      <w:r w:rsidRPr="005B644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hatósági szerződést köt.</w:t>
      </w:r>
    </w:p>
    <w:p w:rsidR="00CC7C66" w:rsidRPr="005B644A" w:rsidRDefault="00CC7C66" w:rsidP="00CC7C66">
      <w:pPr>
        <w:jc w:val="both"/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</w:pPr>
    </w:p>
    <w:p w:rsidR="00CC7C66" w:rsidRPr="005B644A" w:rsidRDefault="00CC7C66" w:rsidP="00CC7C66">
      <w:pPr>
        <w:spacing w:before="120" w:after="120"/>
        <w:jc w:val="both"/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</w:pPr>
      <w:r w:rsidRPr="005B644A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 xml:space="preserve">Részletesebb felvilágosításért kérjük, forduljon a székhely/telephely szerint illetékes </w:t>
      </w:r>
      <w:r w:rsidR="00F933AC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járási hivatal foglalkoztatási o</w:t>
      </w:r>
      <w:r w:rsidR="0089388B" w:rsidRPr="005B644A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sztályának</w:t>
      </w:r>
      <w:r w:rsidRPr="005B644A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 xml:space="preserve"> munkatársaihoz!</w:t>
      </w:r>
    </w:p>
    <w:p w:rsidR="00CC7C66" w:rsidRPr="005B644A" w:rsidRDefault="00CC7C66" w:rsidP="00CC7C66">
      <w:pPr>
        <w:jc w:val="both"/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</w:pPr>
    </w:p>
    <w:p w:rsidR="00CC7C66" w:rsidRPr="001D47F4" w:rsidRDefault="00CC7C66" w:rsidP="00CC7C66">
      <w:pPr>
        <w:spacing w:before="120" w:after="120"/>
        <w:jc w:val="both"/>
        <w:rPr>
          <w:rFonts w:ascii="Palatino Linotype" w:hAnsi="Palatino Linotype" w:cs="Arial"/>
          <w:bCs/>
          <w:iCs/>
          <w:sz w:val="20"/>
          <w:szCs w:val="20"/>
        </w:rPr>
      </w:pPr>
    </w:p>
    <w:p w:rsidR="00CC7C66" w:rsidRPr="00863FAE" w:rsidRDefault="00CC7C66" w:rsidP="00CC7C66">
      <w:pPr>
        <w:ind w:left="3540"/>
        <w:rPr>
          <w:rFonts w:ascii="Arial" w:hAnsi="Arial" w:cs="Arial"/>
        </w:rPr>
      </w:pPr>
    </w:p>
    <w:p w:rsidR="00CC7C66" w:rsidRDefault="00CC7C66" w:rsidP="00CC7C66">
      <w:pPr>
        <w:ind w:left="4956" w:firstLine="708"/>
        <w:rPr>
          <w:rFonts w:ascii="Arial" w:hAnsi="Arial" w:cs="Arial"/>
          <w:b/>
          <w:i/>
        </w:rPr>
      </w:pPr>
    </w:p>
    <w:p w:rsidR="00CC7C66" w:rsidRDefault="00CC7C66" w:rsidP="00CC7C66">
      <w:pPr>
        <w:ind w:left="4956" w:firstLine="708"/>
        <w:rPr>
          <w:rFonts w:ascii="Arial" w:hAnsi="Arial" w:cs="Arial"/>
          <w:b/>
          <w:i/>
        </w:rPr>
      </w:pPr>
    </w:p>
    <w:p w:rsidR="00CC7C66" w:rsidRDefault="00CC7C66" w:rsidP="00CC7C66">
      <w:pPr>
        <w:ind w:left="4956" w:firstLine="708"/>
        <w:rPr>
          <w:rFonts w:ascii="Arial" w:hAnsi="Arial" w:cs="Arial"/>
          <w:b/>
          <w:i/>
        </w:rPr>
      </w:pPr>
    </w:p>
    <w:p w:rsidR="00CC7C66" w:rsidRPr="001D47F4" w:rsidRDefault="00CC7C66" w:rsidP="00CC7C66">
      <w:pPr>
        <w:ind w:left="4956" w:firstLine="708"/>
        <w:rPr>
          <w:rFonts w:ascii="Arial" w:hAnsi="Arial" w:cs="Arial"/>
          <w:i/>
        </w:rPr>
      </w:pPr>
    </w:p>
    <w:p w:rsidR="00CC7C66" w:rsidRPr="001D47F4" w:rsidRDefault="00CC7C66" w:rsidP="00CC7C66">
      <w:pPr>
        <w:tabs>
          <w:tab w:val="center" w:pos="6660"/>
        </w:tabs>
        <w:rPr>
          <w:rFonts w:ascii="Palatino Linotype" w:hAnsi="Palatino Linotype" w:cs="Arial"/>
          <w:bCs/>
          <w:iCs/>
          <w:sz w:val="20"/>
          <w:szCs w:val="20"/>
        </w:rPr>
      </w:pPr>
      <w:r w:rsidRPr="001D47F4">
        <w:rPr>
          <w:rFonts w:ascii="Arial" w:hAnsi="Arial" w:cs="Arial"/>
        </w:rPr>
        <w:tab/>
      </w:r>
      <w:r w:rsidRPr="001D47F4">
        <w:rPr>
          <w:rFonts w:ascii="Palatino Linotype" w:hAnsi="Palatino Linotype" w:cs="Arial"/>
          <w:bCs/>
          <w:iCs/>
          <w:sz w:val="20"/>
          <w:szCs w:val="20"/>
        </w:rPr>
        <w:t>B.-A.-Z. Megyei Kormányhivatal</w:t>
      </w:r>
    </w:p>
    <w:p w:rsidR="00CC7C66" w:rsidRDefault="00CC7C66" w:rsidP="00CC7C66">
      <w:pPr>
        <w:tabs>
          <w:tab w:val="center" w:pos="6660"/>
        </w:tabs>
        <w:rPr>
          <w:rFonts w:ascii="Palatino Linotype" w:hAnsi="Palatino Linotype" w:cs="Arial"/>
          <w:bCs/>
          <w:iCs/>
          <w:sz w:val="20"/>
          <w:szCs w:val="20"/>
        </w:rPr>
      </w:pPr>
      <w:r w:rsidRPr="001D47F4">
        <w:rPr>
          <w:rFonts w:ascii="Palatino Linotype" w:hAnsi="Palatino Linotype" w:cs="Arial"/>
          <w:bCs/>
          <w:iCs/>
          <w:sz w:val="20"/>
          <w:szCs w:val="20"/>
        </w:rPr>
        <w:tab/>
      </w:r>
      <w:r w:rsidR="00444293">
        <w:rPr>
          <w:rFonts w:ascii="Palatino Linotype" w:hAnsi="Palatino Linotype" w:cs="Arial"/>
          <w:bCs/>
          <w:iCs/>
          <w:sz w:val="20"/>
          <w:szCs w:val="20"/>
        </w:rPr>
        <w:t>Foglalkoztatási Főosztály</w:t>
      </w:r>
    </w:p>
    <w:p w:rsidR="00444293" w:rsidRPr="001D47F4" w:rsidRDefault="00444293" w:rsidP="00CC7C66">
      <w:pPr>
        <w:tabs>
          <w:tab w:val="center" w:pos="6660"/>
        </w:tabs>
        <w:rPr>
          <w:rFonts w:ascii="Palatino Linotype" w:hAnsi="Palatino Linotype" w:cs="Arial"/>
          <w:bCs/>
          <w:iCs/>
          <w:sz w:val="20"/>
          <w:szCs w:val="20"/>
        </w:rPr>
      </w:pPr>
    </w:p>
    <w:p w:rsidR="003B458C" w:rsidRDefault="003B458C"/>
    <w:sectPr w:rsidR="003B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CE8"/>
    <w:multiLevelType w:val="hybridMultilevel"/>
    <w:tmpl w:val="7FE26566"/>
    <w:lvl w:ilvl="0" w:tplc="9990C468">
      <w:start w:val="1"/>
      <w:numFmt w:val="bullet"/>
      <w:lvlText w:val="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24C36"/>
    <w:multiLevelType w:val="hybridMultilevel"/>
    <w:tmpl w:val="F92258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F39"/>
    <w:multiLevelType w:val="hybridMultilevel"/>
    <w:tmpl w:val="A1B0614A"/>
    <w:lvl w:ilvl="0" w:tplc="0B6A4A1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  <w:lvl w:ilvl="1" w:tplc="040E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51D403F7"/>
    <w:multiLevelType w:val="hybridMultilevel"/>
    <w:tmpl w:val="955A253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537400"/>
    <w:multiLevelType w:val="singleLevel"/>
    <w:tmpl w:val="EEA6D4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A2066B"/>
    <w:multiLevelType w:val="hybridMultilevel"/>
    <w:tmpl w:val="951E27DA"/>
    <w:lvl w:ilvl="0" w:tplc="41C21800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</w:rPr>
    </w:lvl>
    <w:lvl w:ilvl="1" w:tplc="7E366FEE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75"/>
        </w:tabs>
        <w:ind w:left="6475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66"/>
    <w:rsid w:val="000332AB"/>
    <w:rsid w:val="000B5226"/>
    <w:rsid w:val="001D3F7C"/>
    <w:rsid w:val="002331CD"/>
    <w:rsid w:val="00253F87"/>
    <w:rsid w:val="003A5EA5"/>
    <w:rsid w:val="003B458C"/>
    <w:rsid w:val="00444293"/>
    <w:rsid w:val="004819B1"/>
    <w:rsid w:val="005B644A"/>
    <w:rsid w:val="005E12EC"/>
    <w:rsid w:val="005F00ED"/>
    <w:rsid w:val="00616B46"/>
    <w:rsid w:val="007B7B7E"/>
    <w:rsid w:val="008738D2"/>
    <w:rsid w:val="0089388B"/>
    <w:rsid w:val="00896CDE"/>
    <w:rsid w:val="009930CF"/>
    <w:rsid w:val="0099445A"/>
    <w:rsid w:val="00A015D4"/>
    <w:rsid w:val="00AA33CD"/>
    <w:rsid w:val="00AD4BAD"/>
    <w:rsid w:val="00B01AF9"/>
    <w:rsid w:val="00B61233"/>
    <w:rsid w:val="00C42B91"/>
    <w:rsid w:val="00CC7C66"/>
    <w:rsid w:val="00CE4171"/>
    <w:rsid w:val="00E47E94"/>
    <w:rsid w:val="00F120EB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C390-49DD-48DA-8411-0CD48E0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C7C66"/>
    <w:rPr>
      <w:color w:val="0000FF"/>
      <w:u w:val="single"/>
    </w:rPr>
  </w:style>
  <w:style w:type="paragraph" w:customStyle="1" w:styleId="bajusz">
    <w:name w:val="bajusz"/>
    <w:basedOn w:val="Cm"/>
    <w:rsid w:val="00CC7C66"/>
    <w:pPr>
      <w:overflowPunct w:val="0"/>
      <w:autoSpaceDE w:val="0"/>
      <w:autoSpaceDN w:val="0"/>
      <w:adjustRightInd w:val="0"/>
      <w:spacing w:line="280" w:lineRule="exact"/>
      <w:contextualSpacing w:val="0"/>
      <w:jc w:val="both"/>
      <w:textAlignment w:val="baseline"/>
    </w:pPr>
    <w:rPr>
      <w:rFonts w:ascii="Arial" w:eastAsia="Times New Roman" w:hAnsi="Arial" w:cs="Times New Roman"/>
      <w:spacing w:val="0"/>
      <w:kern w:val="0"/>
      <w:sz w:val="24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C7C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C7C6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István</dc:creator>
  <cp:keywords/>
  <dc:description/>
  <cp:lastModifiedBy>Imolya Tünde</cp:lastModifiedBy>
  <cp:revision>31</cp:revision>
  <dcterms:created xsi:type="dcterms:W3CDTF">2015-03-20T08:29:00Z</dcterms:created>
  <dcterms:modified xsi:type="dcterms:W3CDTF">2016-02-17T15:22:00Z</dcterms:modified>
</cp:coreProperties>
</file>